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F05" w:rsidRPr="002B0795" w:rsidRDefault="00E12F05" w:rsidP="0064178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2B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Головне управління урядового фельд’єгерського зв’язку Державної служби спеціального зв’язку та захисту інформації України</w:t>
      </w:r>
    </w:p>
    <w:p w:rsidR="00E12F05" w:rsidRPr="002B0795" w:rsidRDefault="00E12F05" w:rsidP="00E12F05">
      <w:pPr>
        <w:spacing w:after="0"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2B0795">
        <w:rPr>
          <w:rFonts w:ascii="Times New Roman" w:eastAsia="Times New Roman" w:hAnsi="Times New Roman" w:cs="Times New Roman"/>
          <w:color w:val="000000"/>
          <w:lang w:val="uk-UA"/>
        </w:rPr>
        <w:t>(найменування підрозділу Держспецзв’язку)</w:t>
      </w:r>
    </w:p>
    <w:p w:rsidR="00E12F05" w:rsidRPr="002B0795" w:rsidRDefault="00E12F05" w:rsidP="00E12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79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технічних, якісних та вартісних характеристик предмета закупівлі.</w:t>
      </w:r>
    </w:p>
    <w:p w:rsidR="00581ED1" w:rsidRPr="002B0795" w:rsidRDefault="00581ED1" w:rsidP="00E12F05">
      <w:pPr>
        <w:spacing w:after="0"/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tbl>
      <w:tblPr>
        <w:tblStyle w:val="a3"/>
        <w:tblW w:w="14535" w:type="dxa"/>
        <w:tblInd w:w="-289" w:type="dxa"/>
        <w:tblLook w:val="04A0" w:firstRow="1" w:lastRow="0" w:firstColumn="1" w:lastColumn="0" w:noHBand="0" w:noVBand="1"/>
      </w:tblPr>
      <w:tblGrid>
        <w:gridCol w:w="2665"/>
        <w:gridCol w:w="1985"/>
        <w:gridCol w:w="1417"/>
        <w:gridCol w:w="1299"/>
        <w:gridCol w:w="3376"/>
        <w:gridCol w:w="3793"/>
      </w:tblGrid>
      <w:tr w:rsidR="002A39DA" w:rsidRPr="002B0795" w:rsidTr="00675E3E">
        <w:trPr>
          <w:trHeight w:val="441"/>
        </w:trPr>
        <w:tc>
          <w:tcPr>
            <w:tcW w:w="2665" w:type="dxa"/>
            <w:vMerge w:val="restart"/>
            <w:vAlign w:val="center"/>
          </w:tcPr>
          <w:p w:rsidR="00201BB5" w:rsidRPr="002B0795" w:rsidRDefault="00201BB5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предмета закупівлі із зазначенням коду</w:t>
            </w:r>
          </w:p>
          <w:p w:rsidR="00201BB5" w:rsidRPr="002B0795" w:rsidRDefault="00201BB5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 021-2015</w:t>
            </w:r>
          </w:p>
        </w:tc>
        <w:tc>
          <w:tcPr>
            <w:tcW w:w="1985" w:type="dxa"/>
            <w:vMerge w:val="restart"/>
            <w:vAlign w:val="center"/>
          </w:tcPr>
          <w:p w:rsidR="00201BB5" w:rsidRPr="002B0795" w:rsidRDefault="00201BB5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та ідентифікатор предмета закупівлі</w:t>
            </w:r>
          </w:p>
        </w:tc>
        <w:tc>
          <w:tcPr>
            <w:tcW w:w="1417" w:type="dxa"/>
            <w:vMerge w:val="restart"/>
            <w:vAlign w:val="center"/>
          </w:tcPr>
          <w:p w:rsidR="00201BB5" w:rsidRPr="002B0795" w:rsidRDefault="00201BB5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Розмір бюджетного призначення за кошторисом</w:t>
            </w:r>
            <w:r w:rsidR="0064178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75E3E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99" w:type="dxa"/>
            <w:vMerge w:val="restart"/>
            <w:vAlign w:val="center"/>
          </w:tcPr>
          <w:p w:rsidR="00201BB5" w:rsidRPr="002B0795" w:rsidRDefault="00201BB5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Очікувана вартість предмета закупівл</w:t>
            </w:r>
            <w:r w:rsidR="0064178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і, </w:t>
            </w:r>
            <w:r w:rsidR="00675E3E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169" w:type="dxa"/>
            <w:gridSpan w:val="2"/>
            <w:vAlign w:val="center"/>
          </w:tcPr>
          <w:p w:rsidR="00201BB5" w:rsidRPr="002B0795" w:rsidRDefault="00882F28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</w:t>
            </w:r>
          </w:p>
        </w:tc>
      </w:tr>
      <w:tr w:rsidR="002A39DA" w:rsidRPr="002B0795" w:rsidTr="00675E3E">
        <w:trPr>
          <w:trHeight w:val="770"/>
        </w:trPr>
        <w:tc>
          <w:tcPr>
            <w:tcW w:w="2665" w:type="dxa"/>
            <w:vMerge/>
          </w:tcPr>
          <w:p w:rsidR="00201BB5" w:rsidRPr="002B0795" w:rsidRDefault="00201BB5" w:rsidP="00581ED1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201BB5" w:rsidRPr="002B0795" w:rsidRDefault="00201BB5" w:rsidP="00581ED1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01BB5" w:rsidRPr="002B0795" w:rsidRDefault="00201BB5" w:rsidP="00581ED1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9" w:type="dxa"/>
            <w:vMerge/>
          </w:tcPr>
          <w:p w:rsidR="00201BB5" w:rsidRPr="002B0795" w:rsidRDefault="00201BB5" w:rsidP="00581ED1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6" w:type="dxa"/>
            <w:vAlign w:val="center"/>
          </w:tcPr>
          <w:p w:rsidR="00201BB5" w:rsidRPr="002B0795" w:rsidRDefault="00CD1537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технічних</w:t>
            </w:r>
            <w:r w:rsidR="00201BB5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якісних послуг предмета закупівлі</w:t>
            </w:r>
          </w:p>
        </w:tc>
        <w:tc>
          <w:tcPr>
            <w:tcW w:w="3793" w:type="dxa"/>
            <w:vAlign w:val="center"/>
          </w:tcPr>
          <w:p w:rsidR="00201BB5" w:rsidRPr="002B0795" w:rsidRDefault="00CD1537" w:rsidP="008D27FE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201BB5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чікуваної вартості предмета закупівлі</w:t>
            </w:r>
          </w:p>
        </w:tc>
      </w:tr>
      <w:tr w:rsidR="002A39DA" w:rsidRPr="002B0795" w:rsidTr="00675E3E">
        <w:trPr>
          <w:trHeight w:val="5546"/>
        </w:trPr>
        <w:tc>
          <w:tcPr>
            <w:tcW w:w="2665" w:type="dxa"/>
          </w:tcPr>
          <w:p w:rsidR="002A39DA" w:rsidRPr="002B0795" w:rsidRDefault="002A39DA" w:rsidP="00AD2F6F">
            <w:pPr>
              <w:ind w:left="-61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Бензин автомобільний А-95</w:t>
            </w:r>
          </w:p>
          <w:p w:rsidR="00AD2F6F" w:rsidRPr="002B0795" w:rsidRDefault="002A39DA" w:rsidP="00AD2F6F">
            <w:pPr>
              <w:ind w:left="-61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ДК 021:2015 код 09130000-9 «Нафта і дистиляти» </w:t>
            </w:r>
          </w:p>
          <w:p w:rsidR="002A39DA" w:rsidRPr="002B0795" w:rsidRDefault="002A39DA" w:rsidP="00AD2F6F">
            <w:pPr>
              <w:ind w:left="-61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дизельне паливо</w:t>
            </w:r>
            <w:r w:rsidR="00AD2F6F" w:rsidRPr="002B07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ДП</w:t>
            </w:r>
          </w:p>
          <w:p w:rsidR="002A39DA" w:rsidRPr="002B0795" w:rsidRDefault="002A39DA" w:rsidP="00AD2F6F">
            <w:pPr>
              <w:ind w:left="-61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ДК 021:2015 код 09130000-9 «Нафта і дистиляти» </w:t>
            </w:r>
          </w:p>
          <w:p w:rsidR="00AD2F6F" w:rsidRPr="002B0795" w:rsidRDefault="00AD2F6F" w:rsidP="00AD2F6F">
            <w:pPr>
              <w:ind w:left="-61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Нафтовий газ скраплений (газ скраплений автомобільний)</w:t>
            </w:r>
          </w:p>
          <w:p w:rsidR="00AD2F6F" w:rsidRPr="002B0795" w:rsidRDefault="00AD2F6F" w:rsidP="00AD2F6F">
            <w:pPr>
              <w:ind w:left="-61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код 09130000-9 «Нафта і дистиляти»</w:t>
            </w:r>
          </w:p>
        </w:tc>
        <w:tc>
          <w:tcPr>
            <w:tcW w:w="1985" w:type="dxa"/>
          </w:tcPr>
          <w:p w:rsidR="002A39DA" w:rsidRPr="002B0795" w:rsidRDefault="002A39DA" w:rsidP="00F422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предмета закупівлі:</w:t>
            </w:r>
            <w:r w:rsidR="0083389E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Товари.</w:t>
            </w:r>
          </w:p>
          <w:p w:rsidR="002A39DA" w:rsidRPr="002B0795" w:rsidRDefault="0083389E" w:rsidP="00F422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Процедура</w:t>
            </w:r>
            <w:r w:rsidR="002A39DA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закупівлі: Відкриті торги з особливостями.</w:t>
            </w:r>
          </w:p>
          <w:p w:rsidR="002A39DA" w:rsidRPr="002B0795" w:rsidRDefault="002A39DA" w:rsidP="00AD2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  <w:r w:rsidR="00AD2F6F" w:rsidRPr="002B0795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UA-2023-10-25-013026-a</w:t>
            </w:r>
          </w:p>
        </w:tc>
        <w:tc>
          <w:tcPr>
            <w:tcW w:w="1417" w:type="dxa"/>
          </w:tcPr>
          <w:p w:rsidR="002A39DA" w:rsidRPr="002B0795" w:rsidRDefault="00AD2F6F" w:rsidP="00AD2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52566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</w:t>
            </w:r>
            <w:r w:rsidR="0052566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1299" w:type="dxa"/>
          </w:tcPr>
          <w:p w:rsidR="002A39DA" w:rsidRPr="002B0795" w:rsidRDefault="00AD2F6F" w:rsidP="00AD2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52566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</w:t>
            </w:r>
            <w:r w:rsidR="0052566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3376" w:type="dxa"/>
          </w:tcPr>
          <w:p w:rsidR="002A39DA" w:rsidRPr="002B0795" w:rsidRDefault="002A39DA" w:rsidP="00F422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встановлені виходячи з вимог законодавства України, а саме:</w:t>
            </w:r>
          </w:p>
          <w:p w:rsidR="008D27FE" w:rsidRPr="002B0795" w:rsidRDefault="008D27FE" w:rsidP="008D2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для автомобільних бензинів марки А-95 згідно ДСТУ 7687:2015. «Бензини автомобільні Євро. Технічні умови» та постанови Кабінету Міністрів України від 01 серпня 2013 р. № 927 «Про затвердження Технічного регламенту щодо вимог до автомобільних бензинів, дизельного, суднових та котельних палив»;</w:t>
            </w:r>
          </w:p>
          <w:p w:rsidR="008D27FE" w:rsidRPr="002B0795" w:rsidRDefault="008D27FE" w:rsidP="008D2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для дизельного пального згідно ДСТУ 7688:2015 «Паливо дизельне Євро. Технічні умови» та постанови Кабінету Міністрів України від 01 серпня 2013 р. № 927 «Про затвердження Технічного регламенту щодо вимог до автомобільних бензинів, дизельного, суднових та котельних палив».</w:t>
            </w:r>
          </w:p>
          <w:p w:rsidR="008D27FE" w:rsidRPr="002B0795" w:rsidRDefault="008D27FE" w:rsidP="008D2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- </w:t>
            </w: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нафтового газу скрапленого (газ скраплений автомобільний)</w:t>
            </w:r>
            <w:r w:rsidRPr="002B07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B079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згідно з ДСТУ </w:t>
            </w:r>
            <w:r w:rsidRPr="002B079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589:2017 «Паливо автомобільне. Газ нафтовий скраплений. Технічні умови»)</w:t>
            </w:r>
          </w:p>
          <w:p w:rsidR="002A39DA" w:rsidRPr="002B0795" w:rsidRDefault="008D27FE" w:rsidP="008D27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Бензин автомобільний А-95, дизельне паливо повинні бути у будь якому випадку</w:t>
            </w:r>
            <w:r w:rsidRPr="002B07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2B079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не нижче класу Євро-5.</w:t>
            </w:r>
          </w:p>
        </w:tc>
        <w:tc>
          <w:tcPr>
            <w:tcW w:w="3793" w:type="dxa"/>
          </w:tcPr>
          <w:p w:rsidR="002A39DA" w:rsidRPr="002B0795" w:rsidRDefault="00077F9F" w:rsidP="00315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Розрахунок очікуваної вартості предмета закупівлі здійснено після проведення попередніх ринкових консультацій з метою аналізу ринку шляхом отримання інформації від суб’єктів господарювання, які можуть бути потенційними учасниками закупівлі. Визначення очікуваної вартості предмета закупівлі </w:t>
            </w:r>
            <w:r w:rsidR="00B856BA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методом порівняння ринкових цін відповідно до п.1 розділу ІІІ Примірної методики визначення очікуваної вартості предмета закупівлі, затвердженої наказом Міністерства розвитку економіки</w:t>
            </w:r>
            <w:r w:rsidR="00315218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торгівлі та сільського господа</w:t>
            </w:r>
            <w:r w:rsidR="00B856BA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рства України від 18</w:t>
            </w:r>
            <w:r w:rsidR="00315218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лютого </w:t>
            </w:r>
            <w:r w:rsidR="00B856BA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  <w:r w:rsidR="00315218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  <w:r w:rsidR="00B856BA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 275 </w:t>
            </w: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відбувалось на підставі даних ринку, а саме інформації з </w:t>
            </w:r>
            <w:r w:rsidR="0064178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</w:t>
            </w: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 публічного модуля аналітики BI Prozorro </w:t>
            </w:r>
            <w:r w:rsidR="00641787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«Аналіз цін у Prozorro Market»</w:t>
            </w:r>
            <w:r w:rsidR="004853C1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а також інформації за даними Консалтингової групи А-95 </w:t>
            </w:r>
            <w:r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момент вивчення ринку</w:t>
            </w:r>
            <w:r w:rsidR="007753FF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="009F3645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наслідків податкового навантаження на ринку пального</w:t>
            </w:r>
            <w:r w:rsidR="00B856BA" w:rsidRPr="002B0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2B0795" w:rsidRPr="002B0795" w:rsidRDefault="002B0795" w:rsidP="002B0795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 w:eastAsia="zh-TW"/>
        </w:rPr>
      </w:pPr>
      <w:r w:rsidRPr="002B0795">
        <w:rPr>
          <w:rFonts w:ascii="Times New Roman" w:hAnsi="Times New Roman"/>
          <w:sz w:val="28"/>
          <w:szCs w:val="28"/>
          <w:lang w:val="uk-UA" w:eastAsia="zh-TW"/>
        </w:rPr>
        <w:t>Т.в.о. начальника Головного управління</w:t>
      </w:r>
    </w:p>
    <w:p w:rsidR="002B0795" w:rsidRPr="002B0795" w:rsidRDefault="002B0795" w:rsidP="002B0795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795">
        <w:rPr>
          <w:rFonts w:ascii="Times New Roman" w:hAnsi="Times New Roman"/>
          <w:sz w:val="28"/>
          <w:szCs w:val="28"/>
          <w:lang w:val="uk-UA" w:eastAsia="zh-TW"/>
        </w:rPr>
        <w:t xml:space="preserve">полковник </w:t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</w:r>
      <w:r w:rsidRPr="002B0795">
        <w:rPr>
          <w:rFonts w:ascii="Times New Roman" w:hAnsi="Times New Roman"/>
          <w:sz w:val="28"/>
          <w:szCs w:val="28"/>
          <w:lang w:val="uk-UA" w:eastAsia="zh-TW"/>
        </w:rPr>
        <w:tab/>
        <w:t>Євген ПОТАПЕНКО</w:t>
      </w:r>
    </w:p>
    <w:p w:rsidR="00C26749" w:rsidRPr="002B0795" w:rsidRDefault="00C26749" w:rsidP="00485A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6749" w:rsidRPr="002B0795" w:rsidSect="00507869">
      <w:pgSz w:w="15840" w:h="12240" w:orient="landscape"/>
      <w:pgMar w:top="769" w:right="81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0C7"/>
    <w:rsid w:val="00077F9F"/>
    <w:rsid w:val="000D51FC"/>
    <w:rsid w:val="00201BB5"/>
    <w:rsid w:val="00234C58"/>
    <w:rsid w:val="00265341"/>
    <w:rsid w:val="002A39DA"/>
    <w:rsid w:val="002B0795"/>
    <w:rsid w:val="00315218"/>
    <w:rsid w:val="00356E87"/>
    <w:rsid w:val="00373C7C"/>
    <w:rsid w:val="003F46CC"/>
    <w:rsid w:val="004853C1"/>
    <w:rsid w:val="00485A60"/>
    <w:rsid w:val="004A15A2"/>
    <w:rsid w:val="004B6238"/>
    <w:rsid w:val="00507869"/>
    <w:rsid w:val="00525667"/>
    <w:rsid w:val="00581ED1"/>
    <w:rsid w:val="00624DAE"/>
    <w:rsid w:val="00641787"/>
    <w:rsid w:val="00675E3E"/>
    <w:rsid w:val="007039A7"/>
    <w:rsid w:val="00705824"/>
    <w:rsid w:val="007753FF"/>
    <w:rsid w:val="0083389E"/>
    <w:rsid w:val="00882F28"/>
    <w:rsid w:val="008D27FE"/>
    <w:rsid w:val="008D74C8"/>
    <w:rsid w:val="008F613B"/>
    <w:rsid w:val="009E00DC"/>
    <w:rsid w:val="009F3645"/>
    <w:rsid w:val="00A45F69"/>
    <w:rsid w:val="00AD2F6F"/>
    <w:rsid w:val="00B8038E"/>
    <w:rsid w:val="00B856BA"/>
    <w:rsid w:val="00C26749"/>
    <w:rsid w:val="00C83376"/>
    <w:rsid w:val="00CD1537"/>
    <w:rsid w:val="00D32C46"/>
    <w:rsid w:val="00D62851"/>
    <w:rsid w:val="00DF46E9"/>
    <w:rsid w:val="00E12F05"/>
    <w:rsid w:val="00EB4E49"/>
    <w:rsid w:val="00EE1CCE"/>
    <w:rsid w:val="00F42296"/>
    <w:rsid w:val="00F54C97"/>
    <w:rsid w:val="00F920C7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65D46-6096-4E4A-B14E-CE63839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detailcardtext">
    <w:name w:val="newsdetailcard__text"/>
    <w:basedOn w:val="a"/>
    <w:rsid w:val="00F4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EA57-B267-4C02-A69B-72939F3702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Гостьовий користувач</cp:lastModifiedBy>
  <cp:revision>2</cp:revision>
  <cp:lastPrinted>2023-08-16T05:13:00Z</cp:lastPrinted>
  <dcterms:created xsi:type="dcterms:W3CDTF">2023-10-27T10:29:00Z</dcterms:created>
  <dcterms:modified xsi:type="dcterms:W3CDTF">2023-10-27T10:29:00Z</dcterms:modified>
</cp:coreProperties>
</file>